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2e772b8a04a3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17595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 SREDNJA ŠKOLA JOSIPA KOZARCA ĐURĐENOVAC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745.059,38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638.241,77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802.403,28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57.343,90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11.235,36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60.256,78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Srednja Škola Josipa Kozarca Đurđenovac posluje u skladu sa Zakonom o odgoju i obrazovanju u osnovnoj i srednjoj školi ("Narodne novine", broj: 87/08., 86/09., 92/10., 105/10. - ispravak, 90/11., 16/12., 86/12., 94/13., 152/14., 7/17., 68/18., 98/19., 64/20. i 151/22.) te Statutom škole. Škola obavlja djelatnost srednjoškolskog obrazovanja koje se odvija u dvosmjenskoj nastavi. Godišnji financijski izvještaji SŠ Josipa Kozarca Đurđenovac sastavljani su nakon što su proknjižene sve poslovne promjene, događaji i transakcije za razdoblje siječanj - prosinac 2025., nakon što su knjiženja obavljena pravilno i ažurno temeljem vjerodostojne knjigovodstvene dokumentacije prema propisanom računskom planu i u skladu s financijskim planom odobrenim od nadležnih tijela. Izvještaji su sastavljeni i predaju se premaodredbama Pravilnika o financijskom izvještavanju u proračunskom računovodstvu ("Narodne novine", broj: 37/22.) uz odobrenje Ministarstva obrazovanja, znanosti i mladih za produljenje roka predaje od dva tjedna zaključno s 13.2.2026.g.</w:t>
      </w:r>
      <w:r>
        <w:br/>
      </w:r>
      <w:r>
        <w:t xml:space="preserve">Škola je u 2025.godini imala jedan sudski spor u tijeku.</w:t>
      </w:r>
      <w:r>
        <w:br/>
      </w:r>
      <w:r>
        <w:t xml:space="preserve">Za sastavljanje i predaju financijskih izvještaja korišteni su elektronski obrasci koji su preuzeti iz aplikacije RKPFI - Financijsko izvještavanje u sustavu proračuna i Registar proračunskih i izvanproračunskih korisnika. Osoba odgovorna za sastavljanje financijskih izvještaja je voditeljica računovostva Ivana Nekić, a odgovorna osoba za predaju financijskih izvještaja je ravnatelj Danijel Rončević.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586.941,51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686.381,47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Evidentirano je povećanje pomoći kroz 2025.godinu zbog povećanja troška obaveza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30,1</w:t>
            </w:r>
          </w:p>
        </w:tc>
      </w:tr>
    </w:tbl>
    <w:p>
      <w:pPr>
        <w:spacing w:before="0" w:after="0"/>
      </w:pPr>
    </w:p>
    <w:p>
      <w:r>
        <w:t xml:space="preserve">Evidentirano je umanjenje zbog manjih troškova odnosno smanjene kupnje lektire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55,3</w:t>
            </w:r>
          </w:p>
        </w:tc>
      </w:tr>
    </w:tbl>
    <w:p>
      <w:pPr>
        <w:spacing w:before="0" w:after="0"/>
      </w:pPr>
    </w:p>
    <w:p>
      <w:r>
        <w:t xml:space="preserve">Evidentirano je umanjenje prihoda od prodaje proizvodai robe te pruženih usluga u odnosu na prethodnu godinu te sada iznos 1.140,00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65.202,83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57.537,91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88,2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konta 671 (OBŽ) u 2025.godini iznosili su 57.537,91 euro i usklađeni su s nadležnim upravnim odjelom za javne financije. Na kontu 6711 (rashodi poslovanja) iznos je 56.011,53 eura, a na kontu 6712 (rashodi za nabavu nefinancijske imovine) 1.526,38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638.241,77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802.403,28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Evidentirano je uvećanje rashoda poslovanja radi uvećanja rashoda za zaposlene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11.016,01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304,5</w:t>
            </w:r>
          </w:p>
        </w:tc>
      </w:tr>
    </w:tbl>
    <w:p>
      <w:pPr>
        <w:spacing w:before="0" w:after="0"/>
      </w:pPr>
    </w:p>
    <w:p>
      <w:r>
        <w:t xml:space="preserve">U 2025.godini evidentirano je uvećanje troška za službena putovanja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293,5</w:t>
            </w:r>
          </w:p>
        </w:tc>
      </w:tr>
    </w:tbl>
    <w:p>
      <w:pPr>
        <w:spacing w:before="0" w:after="0"/>
      </w:pPr>
    </w:p>
    <w:p>
      <w:r>
        <w:t xml:space="preserve">Zbog povećane nabave materijala i dijelova za tekuće i investicijsko održavanje, nabavke službene,radne i zaštitne odjeće te sitnog inventara evidentirano je uvećanje konta 3222 - Materijal i sirovine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9.937,61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8.138,52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81,9</w:t>
            </w:r>
          </w:p>
        </w:tc>
      </w:tr>
    </w:tbl>
    <w:p>
      <w:pPr>
        <w:spacing w:before="0" w:after="0"/>
      </w:pPr>
    </w:p>
    <w:p>
      <w:r>
        <w:t xml:space="preserve">Smanjen je trošak usluga tekućeg i investicijskog održavanja u 2025.godini u odnosu na prethodnu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4,0</w:t>
            </w:r>
          </w:p>
        </w:tc>
      </w:tr>
    </w:tbl>
    <w:p>
      <w:pPr>
        <w:spacing w:before="0" w:after="0"/>
      </w:pPr>
    </w:p>
    <w:p>
      <w:r>
        <w:t xml:space="preserve">Smanjio se trošak intelektualnih usluga u 2025.godini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39,6</w:t>
            </w:r>
          </w:p>
        </w:tc>
      </w:tr>
    </w:tbl>
    <w:p>
      <w:pPr>
        <w:spacing w:before="0" w:after="0"/>
      </w:pPr>
    </w:p>
    <w:p>
      <w:r>
        <w:t xml:space="preserve">Evidentirano je smanjenje Ostalih nespomenutih rashoda poslovanja uslijed smanjenja pristojba i naknada te ostalih rashoda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2021,7</w:t>
            </w:r>
          </w:p>
        </w:tc>
      </w:tr>
    </w:tbl>
    <w:p>
      <w:pPr>
        <w:spacing w:before="0" w:after="0"/>
      </w:pPr>
    </w:p>
    <w:p>
      <w:r>
        <w:t xml:space="preserve">Evidentirano je uvećanje na kontu 4227 - Uređaji, strojeva i opreme za ostale namjene radi kupnje i postavljanja kamera iz sigurnosnih mjera.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154.570,96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136.992,77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</w:tbl>
    <w:p>
      <w:pPr>
        <w:spacing w:before="0" w:after="0"/>
      </w:pPr>
    </w:p>
    <w:p>
      <w:r>
        <w:t xml:space="preserve">Evidentirano je umanjenje dugotrajne imovine jer su isknjižena osnovna sredstva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56.434,64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40.715,76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72,1</w:t>
            </w:r>
          </w:p>
        </w:tc>
      </w:tr>
    </w:tbl>
    <w:p>
      <w:pPr>
        <w:spacing w:before="0" w:after="0"/>
      </w:pPr>
    </w:p>
    <w:p>
      <w:r>
        <w:t xml:space="preserve">Evidentirano je umanjenje jer su isknjižena računala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Evidentirano je uvećanje zbog kupnje šahovske opreme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71.672,15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88.694,49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Financijska imovina iznosi 88.694,49 eura i u odnosu na prethodnu godinu je povećana, a sastoji se od potraživanja za naknade koje se refundiraju, potraživanja za prihode uplaćene u proračun kontinuiranih rashoda budućih razdoblja. Razred 1 sastoji se od potraživanja za sve prihode poslovanja, potraživanja za prihode uplaćene u proračun, potraživanja za prihode od prodaje proizvoda i usluga kontinuiranih rashoda budućih razdoblja. Škola posluje putem Jedinstvenog računa Riznice Osječko baranjske županije te se iznos sredstava kojima raspolaže evidentira na osnovnom računu 167 - Potraživanja proračunskih korisnika za sredstva uplaćena u nadležni proračun, na kojem se s datumom 31.12.2025. nalazi 2.336,53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51.267,58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59.836,54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Trošak obveza za zaposlene se povećao zbog povećanja osnovice plaće te zbog povećanja prosjeka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6.725,16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</w:tbl>
    <w:p>
      <w:pPr>
        <w:spacing w:before="0" w:after="0"/>
      </w:pPr>
    </w:p>
    <w:p>
      <w:r>
        <w:t xml:space="preserve">Evidentirano je povećanje zbog povećanja broja intelektualnih usluga kroz 2025.godinu u odnosu na prethodnu.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17.827,59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25.109,48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140,8</w:t>
            </w:r>
          </w:p>
        </w:tc>
      </w:tr>
    </w:tbl>
    <w:p>
      <w:pPr>
        <w:spacing w:before="0" w:after="0"/>
      </w:pPr>
    </w:p>
    <w:p>
      <w:r>
        <w:t xml:space="preserve">Evidentirano je povećanje zbog neisplaćenih predujmova prema dobavljaču Pegasus radi predračuna izdanog u 2025., a računa izdanog u 2026.godini.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17.827,59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24.345,65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136,6</w:t>
            </w:r>
          </w:p>
        </w:tc>
      </w:tr>
    </w:tbl>
    <w:p>
      <w:pPr>
        <w:spacing w:before="0" w:after="0"/>
      </w:pPr>
    </w:p>
    <w:p>
      <w:r>
        <w:t xml:space="preserve">Potraživanja proračunskih korisnika za sredstv uplaćena u nadležni proračun i za prihode od HZZO-a na temelju ugovornih obveza povećana su u odnosu na prethodnu godinu i iznose 24.345,65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649.477,13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805.316,16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r>
        <w:t xml:space="preserve">Osnovna djelatnost škole je više srednjoškolsko obrazovanje. Uz osnovno obrazovanje škola obavlja i dodatnu djelatnost obrazovanja odraslih.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20.491,07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nije imala promjene u vrijednosti i obujmu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Stanja dospjelih obaveza na kraju izvještajnog razdoblja nema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71b884ae3465e" /></Relationships>
</file>